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6E" w:rsidRPr="00D4154E" w:rsidRDefault="00FB326C" w:rsidP="00FB3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Teme za esej</w:t>
      </w:r>
    </w:p>
    <w:p w:rsidR="00FB326C" w:rsidRPr="00D4154E" w:rsidRDefault="00FB326C">
      <w:pPr>
        <w:rPr>
          <w:rFonts w:ascii="Times New Roman" w:hAnsi="Times New Roman" w:cs="Times New Roman"/>
          <w:sz w:val="24"/>
          <w:szCs w:val="24"/>
        </w:rPr>
      </w:pPr>
    </w:p>
    <w:p w:rsidR="00FB326C" w:rsidRPr="00D4154E" w:rsidRDefault="00FB326C" w:rsidP="00FB326C">
      <w:p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Predmet: Etnicitet i etnički odnosi</w:t>
      </w:r>
    </w:p>
    <w:p w:rsidR="00FB326C" w:rsidRPr="00D4154E" w:rsidRDefault="00FB326C" w:rsidP="00FB326C">
      <w:p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Marksizam i etnicitet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Veberova teorija etniciteta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Neomarksistička teorija i etnicitet i etnički odnosi</w:t>
      </w:r>
    </w:p>
    <w:p w:rsidR="00677D87" w:rsidRPr="00D4154E" w:rsidRDefault="00677D87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Primordijalne teorije etniciteta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Politike regulisanja etničkih sukoba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Politike eliminisanja etničkih razlika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Politike upravljanja etničkim razlikama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 xml:space="preserve">Prava manjina u pozitivnom međunarodnom pravu 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 xml:space="preserve"> Regulisanje etničkih odnosa – slučaj Južnog Tirola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Španiji za vrijeme vladavine Franciska Franka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Španiji nakon vladavine Franciska Franka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Velikoj Britaniji: slučaj Velsa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Velikoj Britaniji: slučaj Sjeverne Irske</w:t>
      </w:r>
    </w:p>
    <w:p w:rsidR="00FB326C" w:rsidRPr="00D4154E" w:rsidRDefault="00FB326C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Velikoj Britaniji: slučaj Škotske</w:t>
      </w:r>
    </w:p>
    <w:p w:rsidR="00F26329" w:rsidRPr="00D4154E" w:rsidRDefault="00F26329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Baski i njihov položaj u Španiji i Francuskoj: uporedna studija</w:t>
      </w:r>
    </w:p>
    <w:p w:rsidR="00FB326C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Multikulturalizam u Kanadi i slučaj Kvebeka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Slučaj Kipra u svijetlu odnosa grčke i turske zajednice na ostrvu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Romi kao etnička zajednica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Uloga Evropske unije u regulisanju etničkih odnosa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 xml:space="preserve">Etnički odnosi u Jugoistočnoj Evropi: slučaj Turaka u Bugarskoj 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Jugoistočnoj Evropi: slučaj Mađara u Rumuniji</w:t>
      </w:r>
    </w:p>
    <w:p w:rsidR="00A153F6" w:rsidRPr="00D4154E" w:rsidRDefault="00A153F6" w:rsidP="00FB32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Jugoistočnoj Evropi: slučaj Makedonije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Jugoistočnoj Evropi: slučaj Bosne i Hercegovine nakon disolucije Jugoslavije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Položaj nacionalnih manjina prema Ustavu Crne Gore od 2007. godine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Manjine u ustavnim i zakonskim okvirima Crne Gore, Srbije i Hrvatske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Rusiji: slučaj Čečenije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Etniučki odnosi u Rusiji: slučaj Dagestana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konflikt Jermenije i Azerbejdžana na primjeru Nagorno-Karabaha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odnosi u Letoniji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Somalija: izvor etničkih sukoba</w:t>
      </w:r>
    </w:p>
    <w:p w:rsidR="00A153F6" w:rsidRPr="00D4154E" w:rsidRDefault="00A153F6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konflikti u Etiopiji</w:t>
      </w:r>
    </w:p>
    <w:p w:rsidR="00A153F6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Etnički konflikti u Sudanu: prvi i drugi građanski rat</w:t>
      </w:r>
    </w:p>
    <w:p w:rsidR="00F26329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 xml:space="preserve">Politika aparthejda u Južnoafričkoj republiki: geneza problema </w:t>
      </w:r>
    </w:p>
    <w:p w:rsidR="00F26329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Od etničkih razlika do genocida – slučaj Ruande</w:t>
      </w:r>
    </w:p>
    <w:p w:rsidR="00F26329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Politika multikuliralizma</w:t>
      </w:r>
    </w:p>
    <w:p w:rsidR="00F26329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>Kosovo i etnički odnosi nakon 1999. godine</w:t>
      </w:r>
    </w:p>
    <w:p w:rsidR="00F26329" w:rsidRPr="00D4154E" w:rsidRDefault="00F26329" w:rsidP="00A153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lastRenderedPageBreak/>
        <w:t>Etnički odnosi u savremenoj Ukrajini: Rusi i Ukrajinci</w:t>
      </w:r>
      <w:bookmarkStart w:id="0" w:name="_GoBack"/>
      <w:bookmarkEnd w:id="0"/>
    </w:p>
    <w:p w:rsidR="00FB326C" w:rsidRPr="00D4154E" w:rsidRDefault="00FB326C" w:rsidP="00FB326C">
      <w:pPr>
        <w:rPr>
          <w:rFonts w:ascii="Times New Roman" w:hAnsi="Times New Roman" w:cs="Times New Roman"/>
          <w:sz w:val="24"/>
          <w:szCs w:val="24"/>
        </w:rPr>
      </w:pPr>
    </w:p>
    <w:p w:rsidR="00D4154E" w:rsidRDefault="00D4154E" w:rsidP="00FB326C">
      <w:pPr>
        <w:rPr>
          <w:rFonts w:ascii="Times New Roman" w:hAnsi="Times New Roman" w:cs="Times New Roman"/>
          <w:sz w:val="24"/>
          <w:szCs w:val="24"/>
        </w:rPr>
      </w:pPr>
      <w:r w:rsidRPr="00D4154E">
        <w:rPr>
          <w:rFonts w:ascii="Times New Roman" w:hAnsi="Times New Roman" w:cs="Times New Roman"/>
          <w:sz w:val="24"/>
          <w:szCs w:val="24"/>
        </w:rPr>
        <w:t xml:space="preserve">Eseji se šalju radniku u nastavi na mejl: </w:t>
      </w:r>
      <w:hyperlink r:id="rId5" w:history="1">
        <w:r w:rsidRPr="00D4154E">
          <w:rPr>
            <w:rStyle w:val="Hyperlink"/>
            <w:rFonts w:ascii="Times New Roman" w:hAnsi="Times New Roman" w:cs="Times New Roman"/>
            <w:sz w:val="24"/>
            <w:szCs w:val="24"/>
          </w:rPr>
          <w:t>todor@ucg.ac.me</w:t>
        </w:r>
      </w:hyperlink>
      <w:r w:rsidRPr="00D4154E">
        <w:rPr>
          <w:rFonts w:ascii="Times New Roman" w:hAnsi="Times New Roman" w:cs="Times New Roman"/>
          <w:sz w:val="24"/>
          <w:szCs w:val="24"/>
        </w:rPr>
        <w:t xml:space="preserve"> najkasnije do 14. januara. </w:t>
      </w:r>
      <w:r>
        <w:rPr>
          <w:rFonts w:ascii="Times New Roman" w:hAnsi="Times New Roman" w:cs="Times New Roman"/>
          <w:sz w:val="24"/>
          <w:szCs w:val="24"/>
        </w:rPr>
        <w:t xml:space="preserve">Diskusija o esejima će se održati 14. januara u 15h, kada je predviđen i ispitni rok. </w:t>
      </w:r>
    </w:p>
    <w:p w:rsidR="00D4154E" w:rsidRDefault="00D4154E" w:rsidP="00FB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Esej treba da sadrži od dvije do sedam strana.</w:t>
      </w:r>
    </w:p>
    <w:p w:rsidR="00D4154E" w:rsidRDefault="00D4154E" w:rsidP="00FB3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Eseji se rade individualno. Prijavu eseja je potr</w:t>
      </w:r>
      <w:r w:rsidR="00DA1A3F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>no uraditi u što skorijem roku, na mejl saradnika.</w:t>
      </w:r>
    </w:p>
    <w:p w:rsidR="00D4154E" w:rsidRPr="00D4154E" w:rsidRDefault="00D4154E" w:rsidP="00FB326C">
      <w:pPr>
        <w:rPr>
          <w:rFonts w:ascii="Times New Roman" w:hAnsi="Times New Roman" w:cs="Times New Roman"/>
          <w:sz w:val="24"/>
          <w:szCs w:val="24"/>
        </w:rPr>
      </w:pPr>
    </w:p>
    <w:sectPr w:rsidR="00D4154E" w:rsidRPr="00D4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90D89"/>
    <w:multiLevelType w:val="hybridMultilevel"/>
    <w:tmpl w:val="C432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7"/>
    <w:rsid w:val="005015A7"/>
    <w:rsid w:val="00677D87"/>
    <w:rsid w:val="009C246E"/>
    <w:rsid w:val="00A153F6"/>
    <w:rsid w:val="00D4154E"/>
    <w:rsid w:val="00DA1A3F"/>
    <w:rsid w:val="00F26329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FF283-8FA0-499B-BA68-7855B54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2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dor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TRačunar</dc:creator>
  <cp:keywords/>
  <dc:description/>
  <cp:lastModifiedBy>TRačunar</cp:lastModifiedBy>
  <cp:revision>6</cp:revision>
  <dcterms:created xsi:type="dcterms:W3CDTF">2019-12-11T09:09:00Z</dcterms:created>
  <dcterms:modified xsi:type="dcterms:W3CDTF">2019-12-11T09:53:00Z</dcterms:modified>
</cp:coreProperties>
</file>